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5F4664">
        <w:rPr>
          <w:rFonts w:ascii="Arial" w:eastAsia="Arial Unicode MS" w:hAnsi="Arial"/>
          <w:b/>
          <w:bCs/>
          <w:kern w:val="0"/>
          <w:sz w:val="28"/>
          <w:szCs w:val="28"/>
        </w:rPr>
        <w:t>7</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A85868">
        <w:rPr>
          <w:rFonts w:ascii="Arial" w:eastAsia="Arial Unicode MS" w:hAnsi="Arial"/>
          <w:b/>
          <w:bCs/>
          <w:kern w:val="0"/>
          <w:sz w:val="28"/>
          <w:szCs w:val="28"/>
        </w:rPr>
        <w:t>0</w:t>
      </w:r>
      <w:r w:rsidR="00A85868" w:rsidRPr="00A85868">
        <w:rPr>
          <w:rFonts w:ascii="Arial" w:eastAsia="Arial Unicode MS" w:hAnsi="Arial"/>
          <w:b/>
          <w:bCs/>
          <w:kern w:val="0"/>
          <w:sz w:val="28"/>
          <w:szCs w:val="28"/>
        </w:rPr>
        <w:t>9146</w:t>
      </w:r>
    </w:p>
    <w:p w:rsidR="003E16F6" w:rsidRPr="002C6C08" w:rsidRDefault="005F4664"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5F4664">
        <w:rPr>
          <w:rFonts w:ascii="Arial" w:eastAsia="Arial Unicode MS" w:hAnsi="Arial"/>
          <w:b/>
          <w:bCs/>
          <w:kern w:val="0"/>
          <w:sz w:val="24"/>
          <w:szCs w:val="20"/>
        </w:rPr>
        <w:t>Prague, Czech Republic,</w:t>
      </w:r>
      <w:r w:rsidR="003E16F6" w:rsidRPr="0045260A">
        <w:rPr>
          <w:rFonts w:ascii="Arial" w:eastAsia="Arial Unicode MS" w:hAnsi="Arial"/>
          <w:b/>
          <w:bCs/>
          <w:kern w:val="0"/>
          <w:sz w:val="24"/>
          <w:szCs w:val="20"/>
        </w:rPr>
        <w:t xml:space="preserve"> </w:t>
      </w:r>
      <w:r>
        <w:rPr>
          <w:rFonts w:ascii="Arial" w:eastAsia="Arial Unicode MS" w:hAnsi="Arial"/>
          <w:b/>
          <w:bCs/>
          <w:kern w:val="0"/>
          <w:sz w:val="24"/>
          <w:szCs w:val="20"/>
        </w:rPr>
        <w:t>26</w:t>
      </w:r>
      <w:r w:rsidR="003E16F6">
        <w:rPr>
          <w:rFonts w:ascii="Arial" w:eastAsia="Arial Unicode MS" w:hAnsi="Arial"/>
          <w:b/>
          <w:bCs/>
          <w:kern w:val="0"/>
          <w:sz w:val="24"/>
          <w:szCs w:val="20"/>
        </w:rPr>
        <w:t xml:space="preserve"> - </w:t>
      </w:r>
      <w:r>
        <w:rPr>
          <w:rFonts w:ascii="Arial" w:eastAsia="Arial Unicode MS" w:hAnsi="Arial"/>
          <w:b/>
          <w:bCs/>
          <w:kern w:val="0"/>
          <w:sz w:val="24"/>
          <w:szCs w:val="20"/>
        </w:rPr>
        <w:t>30</w:t>
      </w:r>
      <w:r w:rsidR="003E16F6">
        <w:rPr>
          <w:rFonts w:ascii="Arial" w:eastAsia="Arial Unicode MS" w:hAnsi="Arial"/>
          <w:b/>
          <w:bCs/>
          <w:kern w:val="0"/>
          <w:sz w:val="24"/>
          <w:szCs w:val="20"/>
        </w:rPr>
        <w:t xml:space="preserve"> </w:t>
      </w:r>
      <w:r>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3E16F6" w:rsidRPr="002C6C08">
        <w:rPr>
          <w:rFonts w:ascii="Arial" w:eastAsia="Arial Unicode MS" w:hAnsi="Arial"/>
          <w:b/>
          <w:bCs/>
          <w:kern w:val="0"/>
          <w:sz w:val="24"/>
          <w:szCs w:val="20"/>
        </w:rPr>
        <w:t xml:space="preserve"> 201</w:t>
      </w:r>
      <w:r w:rsidR="003E16F6">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FE473E" w:rsidRDefault="003E16F6" w:rsidP="00FE473E">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E473E" w:rsidRPr="00FE473E">
        <w:rPr>
          <w:rFonts w:ascii="Arial" w:eastAsia="Arial Unicode MS" w:hAnsi="Arial" w:cs="Arial"/>
          <w:b/>
          <w:bCs/>
          <w:kern w:val="0"/>
          <w:sz w:val="24"/>
          <w:szCs w:val="20"/>
        </w:rPr>
        <w:t>11.10.5</w:t>
      </w:r>
      <w:r w:rsidR="00FE473E" w:rsidRPr="00FE473E">
        <w:rPr>
          <w:rFonts w:ascii="Arial" w:eastAsia="Arial Unicode MS" w:hAnsi="Arial" w:cs="Arial"/>
          <w:b/>
          <w:bCs/>
          <w:kern w:val="0"/>
          <w:sz w:val="24"/>
          <w:szCs w:val="20"/>
        </w:rPr>
        <w:tab/>
      </w:r>
      <w:r w:rsidR="002A05D6">
        <w:rPr>
          <w:rFonts w:ascii="Arial" w:eastAsia="Arial Unicode MS" w:hAnsi="Arial" w:cs="Arial"/>
          <w:b/>
          <w:bCs/>
          <w:kern w:val="0"/>
          <w:sz w:val="24"/>
          <w:szCs w:val="20"/>
        </w:rPr>
        <w:tab/>
      </w:r>
      <w:r w:rsidR="00FE473E" w:rsidRPr="00FE473E">
        <w:rPr>
          <w:rFonts w:ascii="Arial" w:eastAsia="Arial Unicode MS" w:hAnsi="Arial" w:cs="Arial"/>
          <w:b/>
          <w:bCs/>
          <w:kern w:val="0"/>
          <w:sz w:val="24"/>
          <w:szCs w:val="20"/>
        </w:rPr>
        <w:t>Fast MCG link Recovery</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5125F">
        <w:rPr>
          <w:rFonts w:ascii="Arial" w:eastAsia="Arial Unicode MS" w:hAnsi="Arial" w:cs="Arial"/>
          <w:b/>
          <w:bCs/>
          <w:kern w:val="0"/>
          <w:sz w:val="24"/>
          <w:szCs w:val="20"/>
        </w:rPr>
        <w:t>Initiation of fast MCG recovery</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B5125F" w:rsidP="003E16F6">
      <w:pPr>
        <w:widowControl/>
        <w:rPr>
          <w:rFonts w:ascii="Arial" w:eastAsia="Arial Unicode MS" w:hAnsi="Arial"/>
          <w:kern w:val="0"/>
          <w:sz w:val="20"/>
          <w:szCs w:val="20"/>
        </w:rPr>
      </w:pPr>
      <w:r>
        <w:rPr>
          <w:rFonts w:ascii="Arial" w:eastAsia="Arial Unicode MS" w:hAnsi="Arial"/>
          <w:kern w:val="0"/>
          <w:sz w:val="20"/>
          <w:szCs w:val="20"/>
        </w:rPr>
        <w:t>In the past RAN2 meetings, there were some agreements for fast MCG recovery [1][2].</w:t>
      </w:r>
    </w:p>
    <w:p w:rsidR="00B5125F" w:rsidRDefault="00B5125F" w:rsidP="003E16F6">
      <w:pPr>
        <w:widowControl/>
        <w:rPr>
          <w:rFonts w:ascii="Arial" w:eastAsia="Arial Unicode MS" w:hAnsi="Arial"/>
          <w:kern w:val="0"/>
          <w:sz w:val="20"/>
          <w:szCs w:val="20"/>
        </w:rPr>
      </w:pP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Agreements for MCG fast recovery:</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0</w:t>
      </w:r>
      <w:r w:rsidRPr="00AF4476">
        <w:rPr>
          <w:sz w:val="18"/>
        </w:rPr>
        <w:tab/>
        <w:t>MCG fast recovery targets all MRDC architecture options</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1:</w:t>
      </w:r>
      <w:r w:rsidRPr="00AF4476">
        <w:rPr>
          <w:sz w:val="18"/>
        </w:rPr>
        <w:tab/>
        <w:t>When MCG failure occurs, UE follows SCG failure-like procedure:</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i.</w:t>
      </w:r>
      <w:r w:rsidRPr="00AF4476">
        <w:rPr>
          <w:sz w:val="18"/>
        </w:rPr>
        <w:tab/>
        <w:t xml:space="preserve">UE does not trigger RRC connection re-establishment. </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ii.</w:t>
      </w:r>
      <w:r w:rsidRPr="00AF4476">
        <w:rPr>
          <w:sz w:val="18"/>
        </w:rPr>
        <w:tab/>
        <w:t>UE triggers an MCG failure procedure in which a failure information message is transmitted to the network via SCG.</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 xml:space="preserve">2: </w:t>
      </w:r>
      <w:r w:rsidRPr="00AF4476">
        <w:rPr>
          <w:sz w:val="18"/>
        </w:rPr>
        <w:tab/>
        <w:t>MCG fast recovery targets the following use cases MCG leg RLF</w:t>
      </w:r>
    </w:p>
    <w:p w:rsidR="00AF4476" w:rsidRPr="006247CA"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6"/>
        </w:rPr>
      </w:pPr>
      <w:r w:rsidRPr="006247CA">
        <w:rPr>
          <w:sz w:val="16"/>
          <w:highlight w:val="lightGray"/>
        </w:rPr>
        <w:t>FFS: Other uses cases. Can consider in future whether the mechanism can be also be applied in the case of other MCG failures.</w:t>
      </w:r>
      <w:r w:rsidRPr="006247CA">
        <w:rPr>
          <w:sz w:val="16"/>
        </w:rPr>
        <w:t xml:space="preserve"> </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3</w:t>
      </w:r>
      <w:r w:rsidRPr="00AF4476">
        <w:rPr>
          <w:sz w:val="18"/>
        </w:rPr>
        <w:tab/>
        <w:t xml:space="preserve">MCG fast recovery can only be triggered after AS security has been activated and the SRB2 and at least one DRB have been setup </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4</w:t>
      </w:r>
      <w:r w:rsidRPr="00AF4476">
        <w:rPr>
          <w:sz w:val="18"/>
        </w:rPr>
        <w:tab/>
        <w:t>MCG failure indication should include:</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ab/>
        <w:t>i.</w:t>
      </w:r>
      <w:r w:rsidRPr="00AF4476">
        <w:rPr>
          <w:sz w:val="18"/>
        </w:rPr>
        <w:tab/>
        <w:t>Available measurement results of MCG</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ab/>
        <w:t>ii.</w:t>
      </w:r>
      <w:r w:rsidRPr="00AF4476">
        <w:rPr>
          <w:sz w:val="18"/>
        </w:rPr>
        <w:tab/>
        <w:t>MCG link failure cause</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ab/>
        <w:t>iii.</w:t>
      </w:r>
      <w:r w:rsidRPr="00AF4476">
        <w:rPr>
          <w:sz w:val="18"/>
        </w:rPr>
        <w:tab/>
        <w:t>Available measurement results of SCG</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ab/>
        <w:t>iv.</w:t>
      </w:r>
      <w:r w:rsidRPr="00AF4476">
        <w:rPr>
          <w:sz w:val="18"/>
        </w:rPr>
        <w:tab/>
        <w:t>Available measurement results of non-serving cells</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 xml:space="preserve">5: </w:t>
      </w:r>
      <w:r w:rsidRPr="00AF4476">
        <w:rPr>
          <w:sz w:val="18"/>
        </w:rPr>
        <w:tab/>
        <w:t>For MCG failure indication, new RRC message in introduced, e.g. MCGFailureInformation.</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 xml:space="preserve">6: </w:t>
      </w:r>
      <w:r w:rsidRPr="00AF4476">
        <w:rPr>
          <w:sz w:val="18"/>
        </w:rPr>
        <w:tab/>
        <w:t xml:space="preserve">SCG leg of the split SRB1 can be used for MCG fast recovery. </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FFS: If configured, SRB3 can be used for MCG fast recovery. Priority is to complete the solution based on split SRB1</w:t>
      </w: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p>
    <w:p w:rsidR="00AF4476" w:rsidRPr="00AF4476" w:rsidRDefault="00AF4476" w:rsidP="00AF4476">
      <w:pPr>
        <w:pStyle w:val="Doc-text2"/>
        <w:pBdr>
          <w:top w:val="single" w:sz="4" w:space="1" w:color="auto"/>
          <w:left w:val="single" w:sz="4" w:space="4" w:color="auto"/>
          <w:bottom w:val="single" w:sz="4" w:space="1" w:color="auto"/>
          <w:right w:val="single" w:sz="4" w:space="4" w:color="auto"/>
        </w:pBdr>
        <w:ind w:leftChars="100" w:left="573"/>
        <w:rPr>
          <w:sz w:val="18"/>
        </w:rPr>
      </w:pPr>
      <w:r w:rsidRPr="00AF4476">
        <w:rPr>
          <w:sz w:val="18"/>
        </w:rPr>
        <w:t>7:</w:t>
      </w:r>
      <w:r w:rsidRPr="00AF4476">
        <w:rPr>
          <w:sz w:val="18"/>
        </w:rPr>
        <w:tab/>
        <w:t>New SRB is not introduced for MCG fast recovery.</w:t>
      </w:r>
    </w:p>
    <w:p w:rsidR="003E16F6" w:rsidRDefault="003E16F6" w:rsidP="003E16F6">
      <w:pPr>
        <w:widowControl/>
        <w:rPr>
          <w:rFonts w:ascii="Arial" w:eastAsia="Arial Unicode MS" w:hAnsi="Arial"/>
          <w:kern w:val="0"/>
          <w:sz w:val="20"/>
          <w:szCs w:val="20"/>
        </w:rPr>
      </w:pPr>
    </w:p>
    <w:p w:rsidR="0009548B" w:rsidRPr="0009548B" w:rsidRDefault="0009548B" w:rsidP="0009548B">
      <w:pPr>
        <w:pStyle w:val="Doc-text2"/>
        <w:pBdr>
          <w:top w:val="single" w:sz="4" w:space="1" w:color="auto"/>
          <w:left w:val="single" w:sz="4" w:space="4" w:color="auto"/>
          <w:bottom w:val="single" w:sz="4" w:space="1" w:color="auto"/>
          <w:right w:val="single" w:sz="4" w:space="4" w:color="auto"/>
        </w:pBdr>
        <w:ind w:leftChars="100" w:left="573"/>
        <w:rPr>
          <w:sz w:val="18"/>
        </w:rPr>
      </w:pPr>
      <w:r w:rsidRPr="0009548B">
        <w:rPr>
          <w:sz w:val="18"/>
        </w:rPr>
        <w:t xml:space="preserve">Agreements </w:t>
      </w:r>
    </w:p>
    <w:p w:rsidR="0009548B" w:rsidRPr="0009548B" w:rsidRDefault="0009548B" w:rsidP="0009548B">
      <w:pPr>
        <w:pStyle w:val="Doc-text2"/>
        <w:pBdr>
          <w:top w:val="single" w:sz="4" w:space="1" w:color="auto"/>
          <w:left w:val="single" w:sz="4" w:space="4" w:color="auto"/>
          <w:bottom w:val="single" w:sz="4" w:space="1" w:color="auto"/>
          <w:right w:val="single" w:sz="4" w:space="4" w:color="auto"/>
        </w:pBdr>
        <w:ind w:leftChars="100" w:left="573"/>
        <w:rPr>
          <w:sz w:val="18"/>
        </w:rPr>
      </w:pPr>
      <w:r w:rsidRPr="00A510BB">
        <w:rPr>
          <w:sz w:val="18"/>
        </w:rPr>
        <w:t>FFS Whether a guard timer is needed for the MCG failure indication message</w:t>
      </w:r>
    </w:p>
    <w:p w:rsidR="0009548B" w:rsidRPr="0009548B" w:rsidRDefault="0009548B" w:rsidP="0009548B">
      <w:pPr>
        <w:pStyle w:val="Doc-text2"/>
        <w:pBdr>
          <w:top w:val="single" w:sz="4" w:space="1" w:color="auto"/>
          <w:left w:val="single" w:sz="4" w:space="4" w:color="auto"/>
          <w:bottom w:val="single" w:sz="4" w:space="1" w:color="auto"/>
          <w:right w:val="single" w:sz="4" w:space="4" w:color="auto"/>
        </w:pBdr>
        <w:ind w:leftChars="100" w:left="573"/>
        <w:rPr>
          <w:sz w:val="18"/>
        </w:rPr>
      </w:pPr>
      <w:r w:rsidRPr="0009548B">
        <w:rPr>
          <w:sz w:val="18"/>
        </w:rPr>
        <w:t>1</w:t>
      </w:r>
      <w:r w:rsidRPr="0009548B">
        <w:rPr>
          <w:sz w:val="18"/>
        </w:rPr>
        <w:tab/>
        <w:t>Once the MCG failure indication is triggered, the UE shall:</w:t>
      </w:r>
    </w:p>
    <w:p w:rsidR="0009548B" w:rsidRPr="0009548B" w:rsidRDefault="0009548B" w:rsidP="0009548B">
      <w:pPr>
        <w:pStyle w:val="Doc-text2"/>
        <w:pBdr>
          <w:top w:val="single" w:sz="4" w:space="1" w:color="auto"/>
          <w:left w:val="single" w:sz="4" w:space="4" w:color="auto"/>
          <w:bottom w:val="single" w:sz="4" w:space="1" w:color="auto"/>
          <w:right w:val="single" w:sz="4" w:space="4" w:color="auto"/>
        </w:pBdr>
        <w:ind w:leftChars="100" w:left="573"/>
        <w:rPr>
          <w:sz w:val="18"/>
        </w:rPr>
      </w:pPr>
      <w:r w:rsidRPr="0009548B">
        <w:rPr>
          <w:sz w:val="18"/>
        </w:rPr>
        <w:t>-</w:t>
      </w:r>
      <w:r w:rsidRPr="0009548B">
        <w:rPr>
          <w:sz w:val="18"/>
        </w:rPr>
        <w:tab/>
        <w:t>transmit the MCG failure indication;</w:t>
      </w:r>
    </w:p>
    <w:p w:rsidR="0009548B" w:rsidRPr="0009548B" w:rsidRDefault="0009548B" w:rsidP="0009548B">
      <w:pPr>
        <w:pStyle w:val="Doc-text2"/>
        <w:pBdr>
          <w:top w:val="single" w:sz="4" w:space="1" w:color="auto"/>
          <w:left w:val="single" w:sz="4" w:space="4" w:color="auto"/>
          <w:bottom w:val="single" w:sz="4" w:space="1" w:color="auto"/>
          <w:right w:val="single" w:sz="4" w:space="4" w:color="auto"/>
        </w:pBdr>
        <w:ind w:leftChars="100" w:left="573"/>
        <w:rPr>
          <w:sz w:val="18"/>
        </w:rPr>
      </w:pPr>
      <w:r w:rsidRPr="0009548B">
        <w:rPr>
          <w:sz w:val="18"/>
        </w:rPr>
        <w:t>−</w:t>
      </w:r>
      <w:r w:rsidRPr="0009548B">
        <w:rPr>
          <w:sz w:val="18"/>
        </w:rPr>
        <w:tab/>
        <w:t>suspend MCG transmission for all SRBs and DRBs;</w:t>
      </w:r>
    </w:p>
    <w:p w:rsidR="0009548B" w:rsidRPr="0009548B" w:rsidRDefault="0009548B" w:rsidP="0009548B">
      <w:pPr>
        <w:pStyle w:val="Doc-text2"/>
        <w:pBdr>
          <w:top w:val="single" w:sz="4" w:space="1" w:color="auto"/>
          <w:left w:val="single" w:sz="4" w:space="4" w:color="auto"/>
          <w:bottom w:val="single" w:sz="4" w:space="1" w:color="auto"/>
          <w:right w:val="single" w:sz="4" w:space="4" w:color="auto"/>
        </w:pBdr>
        <w:ind w:leftChars="100" w:left="573"/>
        <w:rPr>
          <w:sz w:val="18"/>
        </w:rPr>
      </w:pPr>
      <w:r w:rsidRPr="0009548B">
        <w:rPr>
          <w:sz w:val="18"/>
        </w:rPr>
        <w:t>−</w:t>
      </w:r>
      <w:r w:rsidRPr="0009548B">
        <w:rPr>
          <w:sz w:val="18"/>
        </w:rPr>
        <w:tab/>
        <w:t>reset MCG-MAC;</w:t>
      </w:r>
    </w:p>
    <w:p w:rsidR="0009548B" w:rsidRPr="0009548B" w:rsidRDefault="0009548B" w:rsidP="0009548B">
      <w:pPr>
        <w:pStyle w:val="Doc-text2"/>
        <w:pBdr>
          <w:top w:val="single" w:sz="4" w:space="1" w:color="auto"/>
          <w:left w:val="single" w:sz="4" w:space="4" w:color="auto"/>
          <w:bottom w:val="single" w:sz="4" w:space="1" w:color="auto"/>
          <w:right w:val="single" w:sz="4" w:space="4" w:color="auto"/>
        </w:pBdr>
        <w:ind w:leftChars="100" w:left="573"/>
        <w:rPr>
          <w:sz w:val="18"/>
        </w:rPr>
      </w:pPr>
      <w:r w:rsidRPr="0009548B">
        <w:rPr>
          <w:sz w:val="18"/>
        </w:rPr>
        <w:t>−</w:t>
      </w:r>
      <w:r w:rsidRPr="0009548B">
        <w:rPr>
          <w:sz w:val="18"/>
        </w:rPr>
        <w:tab/>
        <w:t>maintain the current measurement configurations from both the MN and the SN, and continue measurements based on configuration from the MN and the SN if possible.</w:t>
      </w:r>
    </w:p>
    <w:p w:rsidR="0009548B" w:rsidRPr="0009548B" w:rsidRDefault="0009548B" w:rsidP="0009548B">
      <w:pPr>
        <w:pStyle w:val="Doc-text2"/>
        <w:pBdr>
          <w:top w:val="single" w:sz="4" w:space="1" w:color="auto"/>
          <w:left w:val="single" w:sz="4" w:space="4" w:color="auto"/>
          <w:bottom w:val="single" w:sz="4" w:space="1" w:color="auto"/>
          <w:right w:val="single" w:sz="4" w:space="4" w:color="auto"/>
        </w:pBdr>
        <w:ind w:leftChars="100" w:left="573"/>
        <w:rPr>
          <w:sz w:val="18"/>
        </w:rPr>
      </w:pPr>
      <w:r w:rsidRPr="0009548B">
        <w:rPr>
          <w:sz w:val="18"/>
          <w:highlight w:val="yellow"/>
        </w:rPr>
        <w:t>FFS whether switch the primaryPath to SCG is needed</w:t>
      </w:r>
    </w:p>
    <w:p w:rsidR="0009548B" w:rsidRPr="0009548B" w:rsidRDefault="0009548B" w:rsidP="0009548B">
      <w:pPr>
        <w:pStyle w:val="Doc-text2"/>
        <w:pBdr>
          <w:top w:val="single" w:sz="4" w:space="1" w:color="auto"/>
          <w:left w:val="single" w:sz="4" w:space="4" w:color="auto"/>
          <w:bottom w:val="single" w:sz="4" w:space="1" w:color="auto"/>
          <w:right w:val="single" w:sz="4" w:space="4" w:color="auto"/>
        </w:pBdr>
        <w:ind w:leftChars="100" w:left="573"/>
        <w:rPr>
          <w:sz w:val="18"/>
        </w:rPr>
      </w:pPr>
    </w:p>
    <w:p w:rsidR="0009548B" w:rsidRPr="0009548B" w:rsidRDefault="0009548B" w:rsidP="0009548B">
      <w:pPr>
        <w:pStyle w:val="Doc-text2"/>
        <w:pBdr>
          <w:top w:val="single" w:sz="4" w:space="1" w:color="auto"/>
          <w:left w:val="single" w:sz="4" w:space="4" w:color="auto"/>
          <w:bottom w:val="single" w:sz="4" w:space="1" w:color="auto"/>
          <w:right w:val="single" w:sz="4" w:space="4" w:color="auto"/>
        </w:pBdr>
        <w:ind w:leftChars="100" w:left="573"/>
        <w:rPr>
          <w:sz w:val="18"/>
        </w:rPr>
      </w:pPr>
      <w:r w:rsidRPr="0009548B">
        <w:rPr>
          <w:sz w:val="18"/>
        </w:rPr>
        <w:t>2</w:t>
      </w:r>
      <w:r w:rsidRPr="0009548B">
        <w:rPr>
          <w:sz w:val="18"/>
        </w:rPr>
        <w:tab/>
        <w:t xml:space="preserve">If SCG failure is detected while MCG is suspended then initiate RRC re-establishment procedure </w:t>
      </w:r>
    </w:p>
    <w:p w:rsidR="0009548B" w:rsidRPr="0009548B" w:rsidRDefault="0009548B" w:rsidP="0009548B">
      <w:pPr>
        <w:pStyle w:val="Doc-text2"/>
        <w:pBdr>
          <w:top w:val="single" w:sz="4" w:space="1" w:color="auto"/>
          <w:left w:val="single" w:sz="4" w:space="4" w:color="auto"/>
          <w:bottom w:val="single" w:sz="4" w:space="1" w:color="auto"/>
          <w:right w:val="single" w:sz="4" w:space="4" w:color="auto"/>
        </w:pBdr>
        <w:ind w:leftChars="100" w:left="573"/>
        <w:rPr>
          <w:sz w:val="18"/>
        </w:rPr>
      </w:pPr>
      <w:r w:rsidRPr="0009548B">
        <w:rPr>
          <w:sz w:val="18"/>
        </w:rPr>
        <w:t>3</w:t>
      </w:r>
      <w:r w:rsidRPr="0009548B">
        <w:rPr>
          <w:sz w:val="18"/>
        </w:rPr>
        <w:tab/>
        <w:t>Upon receiving the MCG failure indication, the MN sends reconfiguration with sync or RRC Release to the UE via SRB1.</w:t>
      </w:r>
    </w:p>
    <w:p w:rsidR="0009548B" w:rsidRPr="0009548B" w:rsidRDefault="0009548B" w:rsidP="0009548B">
      <w:pPr>
        <w:pStyle w:val="Doc-text2"/>
        <w:pBdr>
          <w:top w:val="single" w:sz="4" w:space="1" w:color="auto"/>
          <w:left w:val="single" w:sz="4" w:space="4" w:color="auto"/>
          <w:bottom w:val="single" w:sz="4" w:space="1" w:color="auto"/>
          <w:right w:val="single" w:sz="4" w:space="4" w:color="auto"/>
        </w:pBdr>
        <w:ind w:leftChars="100" w:left="573"/>
        <w:rPr>
          <w:sz w:val="18"/>
        </w:rPr>
      </w:pPr>
      <w:r w:rsidRPr="0009548B">
        <w:rPr>
          <w:sz w:val="18"/>
        </w:rPr>
        <w:t>4</w:t>
      </w:r>
      <w:r w:rsidRPr="0009548B">
        <w:rPr>
          <w:sz w:val="18"/>
        </w:rPr>
        <w:tab/>
        <w:t>Upon reception of reconfig with sync, the UE resumes MCG transmission if suspended</w:t>
      </w:r>
    </w:p>
    <w:p w:rsidR="00B5125F" w:rsidRPr="0009548B" w:rsidRDefault="00B5125F" w:rsidP="003E16F6">
      <w:pPr>
        <w:widowControl/>
        <w:rPr>
          <w:rFonts w:ascii="Arial" w:eastAsia="Arial Unicode MS" w:hAnsi="Arial"/>
          <w:kern w:val="0"/>
          <w:sz w:val="20"/>
          <w:szCs w:val="20"/>
        </w:rPr>
      </w:pPr>
    </w:p>
    <w:p w:rsidR="00B5125F" w:rsidRPr="002C6C08" w:rsidRDefault="00B5125F"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this contribution, we discuss </w:t>
      </w:r>
      <w:r w:rsidR="00D30AE3">
        <w:rPr>
          <w:rFonts w:ascii="Arial" w:eastAsia="Arial Unicode MS" w:hAnsi="Arial"/>
          <w:kern w:val="0"/>
          <w:sz w:val="20"/>
          <w:szCs w:val="20"/>
        </w:rPr>
        <w:t>how to initiate the fast MCG recovery procedure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96023A">
        <w:rPr>
          <w:rFonts w:ascii="Arial" w:hAnsi="Arial"/>
          <w:kern w:val="0"/>
          <w:sz w:val="28"/>
          <w:szCs w:val="20"/>
        </w:rPr>
        <w:t>Primary path switch to SCG</w:t>
      </w:r>
    </w:p>
    <w:p w:rsidR="00025CA3" w:rsidRDefault="00025CA3" w:rsidP="003E16F6">
      <w:pPr>
        <w:widowControl/>
        <w:spacing w:after="120" w:line="240" w:lineRule="atLeast"/>
        <w:rPr>
          <w:rFonts w:ascii="Arial" w:hAnsi="Arial"/>
          <w:kern w:val="0"/>
          <w:sz w:val="20"/>
          <w:szCs w:val="20"/>
        </w:rPr>
      </w:pPr>
      <w:r>
        <w:rPr>
          <w:rFonts w:ascii="Arial" w:hAnsi="Arial"/>
          <w:kern w:val="0"/>
          <w:sz w:val="20"/>
          <w:szCs w:val="20"/>
        </w:rPr>
        <w:t>Throughput this contribution, we consider only split SRB based recovery, but not SRB3 based.</w:t>
      </w:r>
    </w:p>
    <w:p w:rsidR="003E16F6" w:rsidRPr="002C6C08" w:rsidRDefault="00163182" w:rsidP="003E16F6">
      <w:pPr>
        <w:widowControl/>
        <w:spacing w:after="120" w:line="240" w:lineRule="atLeast"/>
        <w:rPr>
          <w:rFonts w:ascii="Arial" w:hAnsi="Arial"/>
          <w:kern w:val="0"/>
          <w:sz w:val="20"/>
          <w:szCs w:val="20"/>
        </w:rPr>
      </w:pPr>
      <w:r>
        <w:rPr>
          <w:rFonts w:ascii="Arial" w:hAnsi="Arial"/>
          <w:kern w:val="0"/>
          <w:sz w:val="20"/>
          <w:szCs w:val="20"/>
        </w:rPr>
        <w:t xml:space="preserve">When </w:t>
      </w:r>
      <w:r w:rsidR="00980F06">
        <w:rPr>
          <w:rFonts w:ascii="Arial" w:hAnsi="Arial"/>
          <w:kern w:val="0"/>
          <w:sz w:val="20"/>
          <w:szCs w:val="20"/>
        </w:rPr>
        <w:t xml:space="preserve">the UE is configured with </w:t>
      </w:r>
      <w:r>
        <w:rPr>
          <w:rFonts w:ascii="Arial" w:hAnsi="Arial"/>
          <w:kern w:val="0"/>
          <w:sz w:val="20"/>
          <w:szCs w:val="20"/>
        </w:rPr>
        <w:t xml:space="preserve">the split SRB, PDCP duplication </w:t>
      </w:r>
      <w:r w:rsidR="004D4110">
        <w:rPr>
          <w:rFonts w:ascii="Arial" w:hAnsi="Arial"/>
          <w:kern w:val="0"/>
          <w:sz w:val="20"/>
          <w:szCs w:val="20"/>
        </w:rPr>
        <w:t xml:space="preserve">for UL </w:t>
      </w:r>
      <w:r>
        <w:rPr>
          <w:rFonts w:ascii="Arial" w:hAnsi="Arial"/>
          <w:kern w:val="0"/>
          <w:sz w:val="20"/>
          <w:szCs w:val="20"/>
        </w:rPr>
        <w:t>may or may not be configured (and activated).</w:t>
      </w:r>
      <w:r w:rsidR="00980F06">
        <w:rPr>
          <w:rFonts w:ascii="Arial" w:hAnsi="Arial"/>
          <w:kern w:val="0"/>
          <w:sz w:val="20"/>
          <w:szCs w:val="20"/>
        </w:rPr>
        <w:t xml:space="preserve"> If the PDCP</w:t>
      </w:r>
      <w:r w:rsidR="004D4110">
        <w:rPr>
          <w:rFonts w:ascii="Arial" w:hAnsi="Arial"/>
          <w:kern w:val="0"/>
          <w:sz w:val="20"/>
          <w:szCs w:val="20"/>
        </w:rPr>
        <w:t xml:space="preserve"> duplication is configured, there is no need to switch the primary path to SCG.</w:t>
      </w:r>
      <w:r w:rsidR="00F65082">
        <w:rPr>
          <w:rFonts w:ascii="Arial" w:hAnsi="Arial"/>
          <w:kern w:val="0"/>
          <w:sz w:val="20"/>
          <w:szCs w:val="20"/>
        </w:rPr>
        <w:t xml:space="preserve"> The UE can send the MCG failure indication via SCG </w:t>
      </w:r>
      <w:r w:rsidR="00656382">
        <w:rPr>
          <w:rFonts w:ascii="Arial" w:hAnsi="Arial"/>
          <w:kern w:val="0"/>
          <w:sz w:val="20"/>
          <w:szCs w:val="20"/>
        </w:rPr>
        <w:t xml:space="preserve">leg </w:t>
      </w:r>
      <w:r w:rsidR="00F65082">
        <w:rPr>
          <w:rFonts w:ascii="Arial" w:hAnsi="Arial"/>
          <w:kern w:val="0"/>
          <w:sz w:val="20"/>
          <w:szCs w:val="20"/>
        </w:rPr>
        <w:t>of split SRB.</w:t>
      </w:r>
    </w:p>
    <w:p w:rsidR="001C5A9B" w:rsidRDefault="00F65082" w:rsidP="003E16F6">
      <w:pPr>
        <w:widowControl/>
        <w:spacing w:after="120" w:line="240" w:lineRule="atLeast"/>
        <w:rPr>
          <w:rFonts w:ascii="Arial" w:hAnsi="Arial"/>
          <w:kern w:val="0"/>
          <w:sz w:val="20"/>
          <w:szCs w:val="20"/>
        </w:rPr>
      </w:pPr>
      <w:r>
        <w:rPr>
          <w:rFonts w:ascii="Arial" w:hAnsi="Arial"/>
          <w:kern w:val="0"/>
          <w:sz w:val="20"/>
          <w:szCs w:val="20"/>
        </w:rPr>
        <w:lastRenderedPageBreak/>
        <w:t>When the UE is not configured with the split SRB, it is currently FFS whether to switch the primary path to SCG or not.</w:t>
      </w:r>
      <w:r w:rsidR="00656382">
        <w:rPr>
          <w:rFonts w:ascii="Arial" w:hAnsi="Arial"/>
          <w:kern w:val="0"/>
          <w:sz w:val="20"/>
          <w:szCs w:val="20"/>
        </w:rPr>
        <w:t xml:space="preserve"> Regardless of the need of switching, it is clear that what the UE should do is to send the MCG failure indication via SCG leg of split SRB. </w:t>
      </w:r>
    </w:p>
    <w:p w:rsidR="00344DE3" w:rsidRDefault="00656382" w:rsidP="003E16F6">
      <w:pPr>
        <w:widowControl/>
        <w:spacing w:after="120" w:line="240" w:lineRule="atLeast"/>
        <w:rPr>
          <w:rFonts w:ascii="Arial" w:hAnsi="Arial"/>
          <w:kern w:val="0"/>
          <w:sz w:val="20"/>
          <w:szCs w:val="20"/>
        </w:rPr>
      </w:pPr>
      <w:r>
        <w:rPr>
          <w:rFonts w:ascii="Arial" w:hAnsi="Arial"/>
          <w:kern w:val="0"/>
          <w:sz w:val="20"/>
          <w:szCs w:val="20"/>
        </w:rPr>
        <w:t xml:space="preserve">To achieve this, there </w:t>
      </w:r>
      <w:r w:rsidR="001C5A9B">
        <w:rPr>
          <w:rFonts w:ascii="Arial" w:hAnsi="Arial"/>
          <w:kern w:val="0"/>
          <w:sz w:val="20"/>
          <w:szCs w:val="20"/>
        </w:rPr>
        <w:t>may</w:t>
      </w:r>
      <w:r>
        <w:rPr>
          <w:rFonts w:ascii="Arial" w:hAnsi="Arial"/>
          <w:kern w:val="0"/>
          <w:sz w:val="20"/>
          <w:szCs w:val="20"/>
        </w:rPr>
        <w:t xml:space="preserve"> be no need to introduce primary path switching upon MCG failure. This is because the MCG failure indication is only happening upon the MCG link failure (i.e. SCG RLF at this moment) and such indication is not a task of the primary path. </w:t>
      </w:r>
      <w:r w:rsidR="001C5A9B">
        <w:rPr>
          <w:rFonts w:ascii="Arial" w:hAnsi="Arial"/>
          <w:kern w:val="0"/>
          <w:sz w:val="20"/>
          <w:szCs w:val="20"/>
        </w:rPr>
        <w:t>In addition, although the primary path is always set to MCG, the UE is configured with the UL configuration (e.g. RLC-Config) necessary for sending SRB via SCG leg, which is configured either together with the DL configuration for split SRB or by default configuration.</w:t>
      </w:r>
      <w:r w:rsidR="0037618D">
        <w:rPr>
          <w:rFonts w:ascii="Arial" w:hAnsi="Arial"/>
          <w:kern w:val="0"/>
          <w:sz w:val="20"/>
          <w:szCs w:val="20"/>
        </w:rPr>
        <w:t xml:space="preserve"> There is one issue in PDCP that how the PDCP knows this (i.e. MCG failure indication) is to be provided to the secondary RLC entity. This may cause (relatively) big impact to the UE.</w:t>
      </w:r>
    </w:p>
    <w:p w:rsidR="001C5A9B" w:rsidRDefault="00344DE3" w:rsidP="003E16F6">
      <w:pPr>
        <w:widowControl/>
        <w:spacing w:after="120" w:line="240" w:lineRule="atLeast"/>
        <w:rPr>
          <w:rFonts w:ascii="Arial" w:hAnsi="Arial"/>
          <w:kern w:val="0"/>
          <w:sz w:val="20"/>
          <w:szCs w:val="20"/>
        </w:rPr>
      </w:pPr>
      <w:r>
        <w:rPr>
          <w:rFonts w:ascii="Arial" w:hAnsi="Arial"/>
          <w:kern w:val="0"/>
          <w:sz w:val="20"/>
          <w:szCs w:val="20"/>
        </w:rPr>
        <w:t>On the other hand, if the primary path is switched</w:t>
      </w:r>
      <w:r w:rsidR="00BE3F76">
        <w:rPr>
          <w:rFonts w:ascii="Arial" w:hAnsi="Arial"/>
          <w:kern w:val="0"/>
          <w:sz w:val="20"/>
          <w:szCs w:val="20"/>
        </w:rPr>
        <w:t xml:space="preserve"> to SCG</w:t>
      </w:r>
      <w:r>
        <w:rPr>
          <w:rFonts w:ascii="Arial" w:hAnsi="Arial"/>
          <w:kern w:val="0"/>
          <w:sz w:val="20"/>
          <w:szCs w:val="20"/>
        </w:rPr>
        <w:t xml:space="preserve">, </w:t>
      </w:r>
      <w:r w:rsidR="001C5A9B">
        <w:rPr>
          <w:rFonts w:ascii="Arial" w:hAnsi="Arial"/>
          <w:kern w:val="0"/>
          <w:sz w:val="20"/>
          <w:szCs w:val="20"/>
        </w:rPr>
        <w:t>any other signalling than the MCG failure indication shall not be sent over SCG leg.</w:t>
      </w:r>
      <w:r w:rsidR="0037618D">
        <w:rPr>
          <w:rFonts w:ascii="Arial" w:hAnsi="Arial"/>
          <w:kern w:val="0"/>
          <w:sz w:val="20"/>
          <w:szCs w:val="20"/>
        </w:rPr>
        <w:t xml:space="preserve"> However, this is easy to handle in RRC. Regarding the UL configuration for SCG leg, it is the same as no switching case above and there will be no problem.</w:t>
      </w:r>
      <w:r w:rsidR="00B56E3D">
        <w:rPr>
          <w:rFonts w:ascii="Arial" w:hAnsi="Arial"/>
          <w:kern w:val="0"/>
          <w:sz w:val="20"/>
          <w:szCs w:val="20"/>
        </w:rPr>
        <w:t xml:space="preserve"> There seems to be less impact than no primary switch option.</w:t>
      </w:r>
    </w:p>
    <w:p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F15289">
        <w:rPr>
          <w:rFonts w:ascii="Arial" w:hAnsi="Arial"/>
          <w:b/>
          <w:kern w:val="0"/>
          <w:sz w:val="20"/>
          <w:szCs w:val="20"/>
        </w:rPr>
        <w:t>The UE is required to switch the primary path of split SRB to SCG in order to send the MCG failure indication via SCG leg of split SRB.</w:t>
      </w:r>
    </w:p>
    <w:p w:rsidR="003E16F6" w:rsidRPr="002C6C08" w:rsidRDefault="003E16F6" w:rsidP="003E16F6">
      <w:pPr>
        <w:widowControl/>
        <w:spacing w:after="120" w:line="240" w:lineRule="atLeast"/>
        <w:rPr>
          <w:rFonts w:ascii="Arial" w:hAnsi="Arial"/>
          <w:kern w:val="0"/>
          <w:sz w:val="20"/>
          <w:szCs w:val="20"/>
        </w:rPr>
      </w:pPr>
    </w:p>
    <w:p w:rsidR="00A510BB" w:rsidRPr="002C6C08" w:rsidRDefault="00947FD5" w:rsidP="00A510BB">
      <w:pPr>
        <w:widowControl/>
        <w:spacing w:after="120" w:line="240" w:lineRule="atLeast"/>
        <w:rPr>
          <w:rFonts w:ascii="Arial" w:hAnsi="Arial"/>
          <w:kern w:val="0"/>
          <w:sz w:val="20"/>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A510BB">
        <w:rPr>
          <w:rFonts w:ascii="Arial" w:hAnsi="Arial"/>
          <w:kern w:val="0"/>
          <w:sz w:val="28"/>
          <w:szCs w:val="20"/>
        </w:rPr>
        <w:t>Initiation of fast MCG recovery</w:t>
      </w:r>
    </w:p>
    <w:p w:rsidR="00947FD5" w:rsidRDefault="003A31D6" w:rsidP="00947FD5">
      <w:pPr>
        <w:widowControl/>
        <w:spacing w:after="120" w:line="240" w:lineRule="atLeast"/>
        <w:rPr>
          <w:rFonts w:ascii="Arial" w:hAnsi="Arial"/>
          <w:kern w:val="0"/>
          <w:sz w:val="20"/>
          <w:szCs w:val="20"/>
        </w:rPr>
      </w:pPr>
      <w:r>
        <w:rPr>
          <w:rFonts w:ascii="Arial" w:hAnsi="Arial"/>
          <w:kern w:val="0"/>
          <w:sz w:val="20"/>
          <w:szCs w:val="20"/>
        </w:rPr>
        <w:t xml:space="preserve">In order to apply </w:t>
      </w:r>
      <w:r w:rsidR="00867432">
        <w:rPr>
          <w:rFonts w:ascii="Arial" w:hAnsi="Arial" w:hint="eastAsia"/>
          <w:kern w:val="0"/>
          <w:sz w:val="20"/>
          <w:szCs w:val="20"/>
        </w:rPr>
        <w:t>the fast MCG recovery via SCG leg of split SRB, remaining questions</w:t>
      </w:r>
      <w:r w:rsidR="00867432">
        <w:rPr>
          <w:rFonts w:ascii="Arial" w:hAnsi="Arial"/>
          <w:kern w:val="0"/>
          <w:sz w:val="20"/>
          <w:szCs w:val="20"/>
        </w:rPr>
        <w:t xml:space="preserve"> in stage 2</w:t>
      </w:r>
      <w:r w:rsidR="00867432">
        <w:rPr>
          <w:rFonts w:ascii="Arial" w:hAnsi="Arial" w:hint="eastAsia"/>
          <w:kern w:val="0"/>
          <w:sz w:val="20"/>
          <w:szCs w:val="20"/>
        </w:rPr>
        <w:t xml:space="preserve"> </w:t>
      </w:r>
      <w:r w:rsidR="00867432">
        <w:rPr>
          <w:rFonts w:ascii="Arial" w:hAnsi="Arial"/>
          <w:kern w:val="0"/>
          <w:sz w:val="20"/>
          <w:szCs w:val="20"/>
        </w:rPr>
        <w:t>are</w:t>
      </w:r>
      <w:r>
        <w:rPr>
          <w:rFonts w:ascii="Arial" w:hAnsi="Arial"/>
          <w:kern w:val="0"/>
          <w:sz w:val="20"/>
          <w:szCs w:val="20"/>
        </w:rPr>
        <w:t xml:space="preserve"> 1</w:t>
      </w:r>
      <w:r w:rsidR="00867432">
        <w:rPr>
          <w:rFonts w:ascii="Arial" w:hAnsi="Arial"/>
          <w:kern w:val="0"/>
          <w:sz w:val="20"/>
          <w:szCs w:val="20"/>
        </w:rPr>
        <w:t xml:space="preserve">) </w:t>
      </w:r>
      <w:r w:rsidR="00867432">
        <w:rPr>
          <w:rFonts w:ascii="Arial" w:hAnsi="Arial" w:hint="eastAsia"/>
          <w:kern w:val="0"/>
          <w:sz w:val="20"/>
          <w:szCs w:val="20"/>
        </w:rPr>
        <w:t xml:space="preserve">who decides </w:t>
      </w:r>
      <w:r w:rsidR="00867432">
        <w:rPr>
          <w:rFonts w:ascii="Arial" w:hAnsi="Arial"/>
          <w:kern w:val="0"/>
          <w:sz w:val="20"/>
          <w:szCs w:val="20"/>
        </w:rPr>
        <w:t>its usage and 2) how to indicate to the UE.</w:t>
      </w:r>
    </w:p>
    <w:p w:rsidR="00867432" w:rsidRDefault="003A31D6" w:rsidP="00947FD5">
      <w:pPr>
        <w:widowControl/>
        <w:spacing w:after="120" w:line="240" w:lineRule="atLeast"/>
        <w:rPr>
          <w:rFonts w:ascii="Arial" w:hAnsi="Arial"/>
          <w:kern w:val="0"/>
          <w:sz w:val="20"/>
          <w:szCs w:val="20"/>
        </w:rPr>
      </w:pPr>
      <w:r>
        <w:rPr>
          <w:rFonts w:ascii="Arial" w:hAnsi="Arial"/>
          <w:kern w:val="0"/>
          <w:sz w:val="20"/>
          <w:szCs w:val="20"/>
        </w:rPr>
        <w:t>Regarding the decision of applying fast MCG recovery, the MN should have a task to decide whether the UE should perform the fast MCG recovery or the re-establishment. One potential question is whether to inform or ask the SN about it in advance, e.g. at SN addition procedure.</w:t>
      </w:r>
      <w:r w:rsidR="003105E9">
        <w:rPr>
          <w:rFonts w:ascii="Arial" w:hAnsi="Arial"/>
          <w:kern w:val="0"/>
          <w:sz w:val="20"/>
          <w:szCs w:val="20"/>
        </w:rPr>
        <w:t xml:space="preserve"> This is because the recovery steps also involve the SN (SCG leg) and thus the SN may need to be aware of this procedure. </w:t>
      </w:r>
      <w:r w:rsidR="00504CD8">
        <w:rPr>
          <w:rFonts w:ascii="Arial" w:hAnsi="Arial"/>
          <w:kern w:val="0"/>
          <w:sz w:val="20"/>
          <w:szCs w:val="20"/>
        </w:rPr>
        <w:t>It can be assumed that the SN would just forward the RRC message from MN via spit SRB to the UE and further details can be discussed in RAN3.</w:t>
      </w:r>
    </w:p>
    <w:p w:rsidR="003105E9" w:rsidRPr="006E0631" w:rsidRDefault="00504CD8" w:rsidP="00947FD5">
      <w:pPr>
        <w:widowControl/>
        <w:spacing w:after="120" w:line="240" w:lineRule="atLeast"/>
        <w:rPr>
          <w:rFonts w:ascii="Arial" w:hAnsi="Arial"/>
          <w:kern w:val="0"/>
          <w:sz w:val="20"/>
          <w:szCs w:val="20"/>
        </w:rPr>
      </w:pPr>
      <w:r>
        <w:rPr>
          <w:rFonts w:ascii="Arial" w:hAnsi="Arial"/>
          <w:kern w:val="0"/>
          <w:sz w:val="20"/>
          <w:szCs w:val="20"/>
        </w:rPr>
        <w:t>Regarding the indication to the UE, it may be done by explicit signalling or implicitly. The explicit signalling is to introduce one bit flag, which is set to true when the fast recovery is applied. Instead, the configuring the split SRB may implicitly mean to apply the fast recovery for UEs supporting the fast recovery.</w:t>
      </w:r>
      <w:r w:rsidR="006E0631">
        <w:rPr>
          <w:rFonts w:ascii="Arial" w:hAnsi="Arial"/>
          <w:kern w:val="0"/>
          <w:sz w:val="20"/>
          <w:szCs w:val="20"/>
        </w:rPr>
        <w:t xml:space="preserve"> Both approaches will work. As the explicit signalling enables the MN to have a choice of configuring the split SRB but not using the fast recovery, we prefer the explicit signalling.</w:t>
      </w:r>
    </w:p>
    <w:p w:rsidR="00867432" w:rsidRPr="00867432" w:rsidRDefault="00867432" w:rsidP="00947FD5">
      <w:pPr>
        <w:widowControl/>
        <w:spacing w:after="120" w:line="240" w:lineRule="atLeast"/>
        <w:rPr>
          <w:rFonts w:ascii="Arial" w:hAnsi="Arial"/>
          <w:kern w:val="0"/>
          <w:sz w:val="20"/>
          <w:szCs w:val="20"/>
        </w:rPr>
      </w:pPr>
    </w:p>
    <w:p w:rsidR="00947FD5" w:rsidRPr="002C6C08" w:rsidRDefault="00947FD5" w:rsidP="00947FD5">
      <w:pPr>
        <w:widowControl/>
        <w:spacing w:before="60" w:after="120" w:line="240" w:lineRule="atLeast"/>
        <w:rPr>
          <w:rFonts w:ascii="Arial" w:hAnsi="Arial"/>
          <w:b/>
          <w:kern w:val="0"/>
          <w:sz w:val="20"/>
          <w:szCs w:val="20"/>
        </w:rPr>
      </w:pPr>
      <w:r>
        <w:rPr>
          <w:rFonts w:ascii="Arial" w:hAnsi="Arial" w:hint="eastAsia"/>
          <w:b/>
          <w:kern w:val="0"/>
          <w:sz w:val="20"/>
          <w:szCs w:val="20"/>
        </w:rPr>
        <w:t>Proposal 2</w:t>
      </w:r>
      <w:r w:rsidR="00BF2A36">
        <w:rPr>
          <w:rFonts w:ascii="Arial" w:hAnsi="Arial" w:hint="eastAsia"/>
          <w:b/>
          <w:kern w:val="0"/>
          <w:sz w:val="20"/>
          <w:szCs w:val="20"/>
        </w:rPr>
        <w:t xml:space="preserve">: </w:t>
      </w:r>
      <w:r w:rsidR="00BF2A36">
        <w:rPr>
          <w:rFonts w:ascii="Arial" w:hAnsi="Arial"/>
          <w:b/>
          <w:kern w:val="0"/>
          <w:sz w:val="20"/>
          <w:szCs w:val="20"/>
        </w:rPr>
        <w:t>The</w:t>
      </w:r>
      <w:r w:rsidR="00BB15CD">
        <w:rPr>
          <w:rFonts w:ascii="Arial" w:hAnsi="Arial"/>
          <w:b/>
          <w:kern w:val="0"/>
          <w:sz w:val="20"/>
          <w:szCs w:val="20"/>
        </w:rPr>
        <w:t xml:space="preserve"> MN </w:t>
      </w:r>
      <w:r w:rsidR="008672DF">
        <w:rPr>
          <w:rFonts w:ascii="Arial" w:hAnsi="Arial"/>
          <w:b/>
          <w:kern w:val="0"/>
          <w:sz w:val="20"/>
          <w:szCs w:val="20"/>
        </w:rPr>
        <w:t xml:space="preserve">decides </w:t>
      </w:r>
      <w:r w:rsidR="00BB15CD">
        <w:rPr>
          <w:rFonts w:ascii="Arial" w:hAnsi="Arial"/>
          <w:b/>
          <w:kern w:val="0"/>
          <w:sz w:val="20"/>
          <w:szCs w:val="20"/>
        </w:rPr>
        <w:t>whether the fast MCG recovery is applied upon th</w:t>
      </w:r>
      <w:r w:rsidR="005330F8">
        <w:rPr>
          <w:rFonts w:ascii="Arial" w:hAnsi="Arial"/>
          <w:b/>
          <w:kern w:val="0"/>
          <w:sz w:val="20"/>
          <w:szCs w:val="20"/>
        </w:rPr>
        <w:t xml:space="preserve">e MCG failure (RLF) </w:t>
      </w:r>
      <w:r w:rsidR="008672DF">
        <w:rPr>
          <w:rFonts w:ascii="Arial" w:hAnsi="Arial"/>
          <w:b/>
          <w:kern w:val="0"/>
          <w:sz w:val="20"/>
          <w:szCs w:val="20"/>
        </w:rPr>
        <w:t xml:space="preserve">and explicitly indicates </w:t>
      </w:r>
      <w:r w:rsidR="005330F8">
        <w:rPr>
          <w:rFonts w:ascii="Arial" w:hAnsi="Arial"/>
          <w:b/>
          <w:kern w:val="0"/>
          <w:sz w:val="20"/>
          <w:szCs w:val="20"/>
        </w:rPr>
        <w:t xml:space="preserve">by RRC </w:t>
      </w:r>
      <w:r w:rsidR="00BB15CD">
        <w:rPr>
          <w:rFonts w:ascii="Arial" w:hAnsi="Arial"/>
          <w:b/>
          <w:kern w:val="0"/>
          <w:sz w:val="20"/>
          <w:szCs w:val="20"/>
        </w:rPr>
        <w:t>signalling</w:t>
      </w:r>
      <w:r w:rsidR="008672DF">
        <w:rPr>
          <w:rFonts w:ascii="Arial" w:hAnsi="Arial"/>
          <w:b/>
          <w:kern w:val="0"/>
          <w:sz w:val="20"/>
          <w:szCs w:val="20"/>
        </w:rPr>
        <w:t>, if applied</w:t>
      </w:r>
      <w:r w:rsidR="00BB15CD">
        <w:rPr>
          <w:rFonts w:ascii="Arial" w:hAnsi="Arial"/>
          <w:b/>
          <w:kern w:val="0"/>
          <w:sz w:val="20"/>
          <w:szCs w:val="20"/>
        </w:rPr>
        <w:t>.</w:t>
      </w:r>
    </w:p>
    <w:p w:rsidR="003E16F6" w:rsidRPr="008672DF"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F81DCF">
        <w:rPr>
          <w:rFonts w:ascii="Arial" w:eastAsia="Arial Unicode MS" w:hAnsi="Arial"/>
          <w:kern w:val="0"/>
          <w:sz w:val="20"/>
          <w:szCs w:val="20"/>
        </w:rPr>
        <w:t>further details of the fast MCG recovery and reached to 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F81DCF" w:rsidRPr="002C6C08" w:rsidRDefault="00F81DCF" w:rsidP="00CF1176">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The UE is required to switch the primary path of split SRB to SCG in order to send the MCG failure indication via SCG leg of split SRB.</w:t>
      </w:r>
    </w:p>
    <w:p w:rsidR="003E16F6" w:rsidRPr="00F81DCF" w:rsidRDefault="00F81DCF" w:rsidP="00CF117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2: </w:t>
      </w:r>
      <w:r>
        <w:rPr>
          <w:rFonts w:ascii="Arial" w:hAnsi="Arial"/>
          <w:b/>
          <w:kern w:val="0"/>
          <w:sz w:val="20"/>
          <w:szCs w:val="20"/>
        </w:rPr>
        <w:t>The MN decides whether the fast MCG recovery is applied upon the MCG failure (RLF) and explicitly indicates by RRC signalling, if applied.</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35115">
        <w:rPr>
          <w:rFonts w:ascii="Arial" w:eastAsia="Arial Unicode MS" w:hAnsi="Arial"/>
          <w:kern w:val="0"/>
          <w:sz w:val="20"/>
          <w:szCs w:val="20"/>
        </w:rPr>
        <w:t>RAN2#105bis Chairman notes</w:t>
      </w:r>
    </w:p>
    <w:p w:rsidR="00A35115" w:rsidRPr="002C6C08" w:rsidRDefault="00A35115"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 RAN2#106 Chairman notes</w:t>
      </w:r>
    </w:p>
    <w:p w:rsidR="003E16F6" w:rsidRPr="002C6C08" w:rsidRDefault="003E16F6" w:rsidP="003E16F6">
      <w:pPr>
        <w:widowControl/>
        <w:spacing w:line="240" w:lineRule="atLeast"/>
        <w:rPr>
          <w:rFonts w:ascii="Arial" w:eastAsia="Arial Unicode MS" w:hAnsi="Arial"/>
          <w:kern w:val="0"/>
          <w:sz w:val="20"/>
          <w:szCs w:val="20"/>
        </w:rPr>
      </w:pPr>
    </w:p>
    <w:p w:rsidR="003E16F6" w:rsidRPr="003E16F6" w:rsidRDefault="003E16F6" w:rsidP="003E16F6">
      <w:bookmarkStart w:id="1" w:name="_GoBack"/>
      <w:bookmarkEnd w:id="1"/>
    </w:p>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991" w:rsidRDefault="00311991" w:rsidP="005F4664">
      <w:r>
        <w:separator/>
      </w:r>
    </w:p>
  </w:endnote>
  <w:endnote w:type="continuationSeparator" w:id="0">
    <w:p w:rsidR="00311991" w:rsidRDefault="00311991"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991" w:rsidRDefault="00311991" w:rsidP="005F4664">
      <w:r>
        <w:separator/>
      </w:r>
    </w:p>
  </w:footnote>
  <w:footnote w:type="continuationSeparator" w:id="0">
    <w:p w:rsidR="00311991" w:rsidRDefault="00311991" w:rsidP="005F46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25CA3"/>
    <w:rsid w:val="00077916"/>
    <w:rsid w:val="0009548B"/>
    <w:rsid w:val="00163182"/>
    <w:rsid w:val="001C5A9B"/>
    <w:rsid w:val="001F6B7E"/>
    <w:rsid w:val="00297E8B"/>
    <w:rsid w:val="002A05D6"/>
    <w:rsid w:val="002A5338"/>
    <w:rsid w:val="002E03E0"/>
    <w:rsid w:val="003105E9"/>
    <w:rsid w:val="00311991"/>
    <w:rsid w:val="00334303"/>
    <w:rsid w:val="00344DE3"/>
    <w:rsid w:val="0037618D"/>
    <w:rsid w:val="003A31D6"/>
    <w:rsid w:val="003E16F6"/>
    <w:rsid w:val="00480E85"/>
    <w:rsid w:val="00493990"/>
    <w:rsid w:val="004D4110"/>
    <w:rsid w:val="00504CD8"/>
    <w:rsid w:val="005251A1"/>
    <w:rsid w:val="005330F8"/>
    <w:rsid w:val="00566CBC"/>
    <w:rsid w:val="005F4664"/>
    <w:rsid w:val="006247CA"/>
    <w:rsid w:val="00627B0F"/>
    <w:rsid w:val="00656382"/>
    <w:rsid w:val="00660047"/>
    <w:rsid w:val="006E0631"/>
    <w:rsid w:val="00701DB6"/>
    <w:rsid w:val="00726111"/>
    <w:rsid w:val="007F57B7"/>
    <w:rsid w:val="008672DF"/>
    <w:rsid w:val="00867432"/>
    <w:rsid w:val="008A5ABE"/>
    <w:rsid w:val="00900C76"/>
    <w:rsid w:val="00947FD5"/>
    <w:rsid w:val="0096023A"/>
    <w:rsid w:val="00980F06"/>
    <w:rsid w:val="00A35115"/>
    <w:rsid w:val="00A510BB"/>
    <w:rsid w:val="00A85868"/>
    <w:rsid w:val="00AF3F65"/>
    <w:rsid w:val="00AF4476"/>
    <w:rsid w:val="00B26B13"/>
    <w:rsid w:val="00B32C00"/>
    <w:rsid w:val="00B4160C"/>
    <w:rsid w:val="00B5125F"/>
    <w:rsid w:val="00B56E3D"/>
    <w:rsid w:val="00BB15CD"/>
    <w:rsid w:val="00BE3F76"/>
    <w:rsid w:val="00BF2A36"/>
    <w:rsid w:val="00CD02C4"/>
    <w:rsid w:val="00CD2DA4"/>
    <w:rsid w:val="00CE53E3"/>
    <w:rsid w:val="00CF1176"/>
    <w:rsid w:val="00CF1FDD"/>
    <w:rsid w:val="00D0602F"/>
    <w:rsid w:val="00D30AE3"/>
    <w:rsid w:val="00D504A7"/>
    <w:rsid w:val="00D723C1"/>
    <w:rsid w:val="00EE247E"/>
    <w:rsid w:val="00F15289"/>
    <w:rsid w:val="00F65082"/>
    <w:rsid w:val="00F81DCF"/>
    <w:rsid w:val="00FE47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09548B"/>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rsid w:val="0009548B"/>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3</Pages>
  <Words>924</Words>
  <Characters>5267</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50</cp:revision>
  <dcterms:created xsi:type="dcterms:W3CDTF">2019-04-30T06:30:00Z</dcterms:created>
  <dcterms:modified xsi:type="dcterms:W3CDTF">2019-08-14T10:36:00Z</dcterms:modified>
</cp:coreProperties>
</file>